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E6" w:rsidRPr="00750677" w:rsidRDefault="004665DA" w:rsidP="001338E6">
      <w:pPr>
        <w:ind w:left="2127" w:right="1124" w:hanging="1080"/>
        <w:jc w:val="both"/>
        <w:rPr>
          <w:rFonts w:ascii="Tahoma" w:hAnsi="Tahoma" w:cs="Tahoma"/>
          <w:i/>
          <w:sz w:val="22"/>
          <w:szCs w:val="22"/>
        </w:rPr>
      </w:pPr>
      <w:r w:rsidRPr="005D02CA">
        <w:rPr>
          <w:rFonts w:ascii="Tahoma" w:hAnsi="Tahoma" w:cs="Tahoma"/>
          <w:b/>
          <w:i/>
          <w:sz w:val="22"/>
          <w:szCs w:val="22"/>
        </w:rPr>
        <w:t>Sumilla:</w:t>
      </w:r>
      <w:r w:rsidRPr="005D02CA">
        <w:rPr>
          <w:rFonts w:ascii="Tahoma" w:hAnsi="Tahoma" w:cs="Tahoma"/>
          <w:i/>
          <w:sz w:val="22"/>
          <w:szCs w:val="22"/>
        </w:rPr>
        <w:t xml:space="preserve"> </w:t>
      </w:r>
      <w:r w:rsidR="001338E6">
        <w:rPr>
          <w:rFonts w:ascii="Tahoma" w:hAnsi="Tahoma" w:cs="Tahoma"/>
          <w:i/>
          <w:sz w:val="22"/>
          <w:szCs w:val="22"/>
        </w:rPr>
        <w:t>“</w:t>
      </w:r>
      <w:r w:rsidR="001338E6" w:rsidRPr="00750677">
        <w:rPr>
          <w:rFonts w:ascii="Tahoma" w:hAnsi="Tahoma" w:cs="Tahoma"/>
          <w:i/>
          <w:sz w:val="22"/>
          <w:szCs w:val="22"/>
        </w:rPr>
        <w:t>Los errores materiales o aritméticos contenidos en los actos administrativos pueden ser rectificados con efecto retroactivo, en cualquier momento, de oficio o a instancia de los administrados, siempre que no se altere lo sustancial de su contenido ni el sentido de la decisión.</w:t>
      </w:r>
      <w:r w:rsidR="001338E6">
        <w:rPr>
          <w:rFonts w:ascii="Tahoma" w:hAnsi="Tahoma" w:cs="Tahoma"/>
          <w:i/>
          <w:sz w:val="22"/>
          <w:szCs w:val="22"/>
        </w:rPr>
        <w:t>”</w:t>
      </w:r>
    </w:p>
    <w:p w:rsidR="004665DA" w:rsidRPr="005D02CA" w:rsidRDefault="004665DA" w:rsidP="004665DA">
      <w:pPr>
        <w:ind w:left="1843" w:right="991"/>
        <w:jc w:val="both"/>
        <w:rPr>
          <w:rFonts w:ascii="Tahoma" w:hAnsi="Tahoma" w:cs="Tahoma"/>
          <w:i/>
          <w:sz w:val="22"/>
          <w:szCs w:val="22"/>
        </w:rPr>
      </w:pPr>
    </w:p>
    <w:p w:rsidR="004665DA" w:rsidRPr="005D02CA" w:rsidRDefault="004665DA" w:rsidP="004665DA">
      <w:pPr>
        <w:ind w:left="1843" w:right="1558"/>
        <w:jc w:val="both"/>
        <w:rPr>
          <w:rFonts w:ascii="Tahoma" w:hAnsi="Tahoma" w:cs="Tahoma"/>
          <w:i/>
          <w:sz w:val="22"/>
          <w:szCs w:val="22"/>
        </w:rPr>
      </w:pPr>
    </w:p>
    <w:p w:rsidR="004665DA" w:rsidRPr="005D02CA" w:rsidRDefault="004665DA" w:rsidP="004665DA">
      <w:pPr>
        <w:pStyle w:val="Textoindependiente3"/>
        <w:spacing w:after="0"/>
        <w:ind w:left="5387"/>
        <w:jc w:val="both"/>
        <w:rPr>
          <w:rFonts w:ascii="Tahoma" w:hAnsi="Tahoma" w:cs="Tahoma"/>
          <w:b/>
          <w:sz w:val="22"/>
          <w:szCs w:val="22"/>
        </w:rPr>
      </w:pPr>
      <w:r w:rsidRPr="005D02CA">
        <w:rPr>
          <w:rFonts w:ascii="Tahoma" w:hAnsi="Tahoma" w:cs="Tahoma"/>
          <w:b/>
          <w:sz w:val="22"/>
          <w:szCs w:val="22"/>
        </w:rPr>
        <w:t>Lima,</w:t>
      </w:r>
      <w:r w:rsidR="005E3260">
        <w:rPr>
          <w:rFonts w:ascii="Tahoma" w:hAnsi="Tahoma" w:cs="Tahoma"/>
          <w:b/>
          <w:sz w:val="22"/>
          <w:szCs w:val="22"/>
        </w:rPr>
        <w:t xml:space="preserve"> 13 de Junio de 2011</w:t>
      </w:r>
    </w:p>
    <w:p w:rsidR="004665DA" w:rsidRPr="005D02CA" w:rsidRDefault="004665DA" w:rsidP="004665DA">
      <w:pPr>
        <w:pStyle w:val="Textoindependiente3"/>
        <w:spacing w:after="0"/>
        <w:ind w:left="5387"/>
        <w:jc w:val="both"/>
        <w:rPr>
          <w:rFonts w:ascii="Tahoma" w:hAnsi="Tahoma" w:cs="Tahoma"/>
          <w:b/>
          <w:sz w:val="22"/>
          <w:szCs w:val="22"/>
        </w:rPr>
      </w:pPr>
    </w:p>
    <w:p w:rsidR="004665DA" w:rsidRPr="007A7260" w:rsidRDefault="004665DA" w:rsidP="004665DA">
      <w:pPr>
        <w:pStyle w:val="Textoindependiente"/>
        <w:spacing w:after="0"/>
        <w:ind w:left="425"/>
        <w:jc w:val="both"/>
        <w:rPr>
          <w:rFonts w:ascii="Tahoma" w:hAnsi="Tahoma" w:cs="Tahoma"/>
          <w:sz w:val="22"/>
          <w:szCs w:val="22"/>
        </w:rPr>
      </w:pPr>
      <w:r w:rsidRPr="005D02CA">
        <w:rPr>
          <w:rFonts w:ascii="Tahoma" w:hAnsi="Tahoma" w:cs="Tahoma"/>
          <w:b/>
          <w:sz w:val="22"/>
          <w:szCs w:val="22"/>
        </w:rPr>
        <w:t xml:space="preserve">Visto </w:t>
      </w:r>
      <w:r w:rsidRPr="005D02CA">
        <w:rPr>
          <w:rFonts w:ascii="Tahoma" w:hAnsi="Tahoma" w:cs="Tahoma"/>
          <w:sz w:val="22"/>
          <w:szCs w:val="22"/>
        </w:rPr>
        <w:t xml:space="preserve">en sesión de fecha </w:t>
      </w:r>
      <w:r>
        <w:rPr>
          <w:rFonts w:ascii="Tahoma" w:hAnsi="Tahoma" w:cs="Tahoma"/>
          <w:sz w:val="22"/>
          <w:szCs w:val="22"/>
        </w:rPr>
        <w:t>13</w:t>
      </w:r>
      <w:r w:rsidRPr="005D02CA">
        <w:rPr>
          <w:rFonts w:ascii="Tahoma" w:hAnsi="Tahoma" w:cs="Tahoma"/>
          <w:sz w:val="22"/>
          <w:szCs w:val="22"/>
        </w:rPr>
        <w:t xml:space="preserve"> de </w:t>
      </w:r>
      <w:r w:rsidRPr="004665DA">
        <w:rPr>
          <w:rFonts w:ascii="Tahoma" w:hAnsi="Tahoma" w:cs="Tahoma"/>
          <w:sz w:val="22"/>
          <w:szCs w:val="22"/>
        </w:rPr>
        <w:t xml:space="preserve">junio de 2011 la Primera Sala del Tribunal de Contrataciones del Estado el Expediente Nº 3614/2007.TC; sobre el procedimiento administrativo sancionador iniciado contra </w:t>
      </w:r>
      <w:r>
        <w:rPr>
          <w:rFonts w:ascii="Tahoma" w:hAnsi="Tahoma" w:cs="Tahoma"/>
          <w:sz w:val="22"/>
          <w:szCs w:val="22"/>
        </w:rPr>
        <w:t>el Consorcio Liban, integrado por las empresas Maquinaria Construcción y Minería S.A.C. y J.J.M. Contratistas Generales S.R.L.</w:t>
      </w:r>
      <w:r w:rsidRPr="007A7260">
        <w:rPr>
          <w:rFonts w:ascii="Tahoma" w:hAnsi="Tahoma" w:cs="Tahoma"/>
          <w:sz w:val="22"/>
          <w:szCs w:val="22"/>
        </w:rPr>
        <w:t xml:space="preserve"> por su supuesta responsabilidad </w:t>
      </w:r>
      <w:r>
        <w:rPr>
          <w:rFonts w:ascii="Tahoma" w:hAnsi="Tahoma" w:cs="Tahoma"/>
          <w:sz w:val="22"/>
          <w:szCs w:val="22"/>
        </w:rPr>
        <w:t>en la presentación de documentos falsos y/o inexactos, durante su participación en la resolución del contrato Nº 066-2006-UNFV derivado de la Licitación Pública Nº 007-2007-SEDALIB.</w:t>
      </w:r>
    </w:p>
    <w:p w:rsidR="004665DA" w:rsidRPr="004665DA" w:rsidRDefault="004665DA" w:rsidP="004665DA">
      <w:pPr>
        <w:ind w:firstLine="567"/>
        <w:contextualSpacing/>
        <w:jc w:val="both"/>
        <w:rPr>
          <w:rFonts w:ascii="Tahoma" w:hAnsi="Tahoma" w:cs="Tahoma"/>
          <w:b/>
          <w:sz w:val="22"/>
          <w:szCs w:val="22"/>
        </w:rPr>
      </w:pPr>
    </w:p>
    <w:p w:rsidR="004665DA" w:rsidRPr="005D02CA" w:rsidRDefault="004665DA" w:rsidP="004665DA">
      <w:pPr>
        <w:pStyle w:val="Prrafodelista"/>
        <w:ind w:left="426"/>
        <w:rPr>
          <w:rFonts w:ascii="Tahoma" w:hAnsi="Tahoma" w:cs="Tahoma"/>
          <w:b/>
          <w:sz w:val="22"/>
          <w:szCs w:val="22"/>
        </w:rPr>
      </w:pPr>
      <w:r w:rsidRPr="005D02CA">
        <w:rPr>
          <w:rFonts w:ascii="Tahoma" w:hAnsi="Tahoma" w:cs="Tahoma"/>
          <w:b/>
          <w:sz w:val="22"/>
          <w:szCs w:val="22"/>
        </w:rPr>
        <w:t>ANTECEDENTES:</w:t>
      </w:r>
    </w:p>
    <w:p w:rsidR="004665DA" w:rsidRPr="005D02CA" w:rsidRDefault="004665DA" w:rsidP="004665DA">
      <w:pPr>
        <w:jc w:val="both"/>
        <w:rPr>
          <w:rFonts w:ascii="Tahoma" w:hAnsi="Tahoma" w:cs="Tahoma"/>
          <w:b/>
          <w:sz w:val="22"/>
          <w:szCs w:val="22"/>
          <w:lang w:eastAsia="es-PE"/>
        </w:rPr>
      </w:pPr>
    </w:p>
    <w:p w:rsidR="004665DA" w:rsidRPr="007A7260" w:rsidRDefault="004665DA" w:rsidP="004665DA">
      <w:pPr>
        <w:pStyle w:val="Textoindependiente"/>
        <w:numPr>
          <w:ilvl w:val="0"/>
          <w:numId w:val="8"/>
        </w:numPr>
        <w:tabs>
          <w:tab w:val="clear" w:pos="360"/>
          <w:tab w:val="num" w:pos="426"/>
        </w:tabs>
        <w:spacing w:after="0"/>
        <w:ind w:left="425" w:hanging="426"/>
        <w:jc w:val="both"/>
        <w:rPr>
          <w:rFonts w:ascii="Tahoma" w:hAnsi="Tahoma" w:cs="Tahoma"/>
          <w:sz w:val="22"/>
          <w:szCs w:val="22"/>
        </w:rPr>
      </w:pPr>
      <w:r w:rsidRPr="007A7260">
        <w:rPr>
          <w:rFonts w:ascii="Tahoma" w:hAnsi="Tahoma" w:cs="Tahoma"/>
          <w:sz w:val="22"/>
          <w:szCs w:val="22"/>
        </w:rPr>
        <w:t xml:space="preserve">El 30 de </w:t>
      </w:r>
      <w:r>
        <w:rPr>
          <w:rFonts w:ascii="Tahoma" w:hAnsi="Tahoma" w:cs="Tahoma"/>
          <w:sz w:val="22"/>
          <w:szCs w:val="22"/>
        </w:rPr>
        <w:t>noviembre</w:t>
      </w:r>
      <w:r w:rsidRPr="007A7260">
        <w:rPr>
          <w:rFonts w:ascii="Tahoma" w:hAnsi="Tahoma" w:cs="Tahoma"/>
          <w:sz w:val="22"/>
          <w:szCs w:val="22"/>
        </w:rPr>
        <w:t xml:space="preserve"> de 2010, la Primera Sala del Tribunal de Contrataciones del Estado expidió la Resolución № </w:t>
      </w:r>
      <w:r>
        <w:rPr>
          <w:rFonts w:ascii="Tahoma" w:hAnsi="Tahoma" w:cs="Tahoma"/>
          <w:sz w:val="22"/>
          <w:szCs w:val="22"/>
        </w:rPr>
        <w:t>2267</w:t>
      </w:r>
      <w:r w:rsidRPr="007A7260">
        <w:rPr>
          <w:rFonts w:ascii="Tahoma" w:hAnsi="Tahoma" w:cs="Tahoma"/>
          <w:sz w:val="22"/>
          <w:szCs w:val="22"/>
        </w:rPr>
        <w:t xml:space="preserve">-2010-TC-S1, relacionada con el procedimiento administrativo sancionador seguido contra </w:t>
      </w:r>
      <w:r>
        <w:rPr>
          <w:rFonts w:ascii="Tahoma" w:hAnsi="Tahoma" w:cs="Tahoma"/>
          <w:sz w:val="22"/>
          <w:szCs w:val="22"/>
        </w:rPr>
        <w:t>el Consorcio Liban, integrado por las empresas Maquinaria Construcción y Minería S.A.C. y J.J.M. Contratistas Generales S.R.L.</w:t>
      </w:r>
      <w:r w:rsidRPr="007A7260">
        <w:rPr>
          <w:rFonts w:ascii="Tahoma" w:hAnsi="Tahoma" w:cs="Tahoma"/>
          <w:sz w:val="22"/>
          <w:szCs w:val="22"/>
        </w:rPr>
        <w:t xml:space="preserve"> por su supuesta responsabilidad </w:t>
      </w:r>
      <w:r>
        <w:rPr>
          <w:rFonts w:ascii="Tahoma" w:hAnsi="Tahoma" w:cs="Tahoma"/>
          <w:sz w:val="22"/>
          <w:szCs w:val="22"/>
        </w:rPr>
        <w:t>en la presentación de documentos falsos y/o inexactos, durante su participación en la resolución del contrato Nº 066-2006-UNFV derivado de la Licitación Pública Nº 007-2007-SEDALIB.</w:t>
      </w:r>
    </w:p>
    <w:p w:rsidR="004665DA" w:rsidRPr="007A7260" w:rsidRDefault="004665DA" w:rsidP="004665DA">
      <w:pPr>
        <w:pStyle w:val="Textoindependiente"/>
        <w:ind w:left="425"/>
        <w:rPr>
          <w:rFonts w:ascii="Tahoma" w:hAnsi="Tahoma" w:cs="Tahoma"/>
          <w:sz w:val="22"/>
          <w:szCs w:val="22"/>
        </w:rPr>
      </w:pPr>
    </w:p>
    <w:p w:rsidR="004665DA" w:rsidRPr="007A7260" w:rsidRDefault="004665DA" w:rsidP="004665DA">
      <w:pPr>
        <w:pStyle w:val="Textoindependiente"/>
        <w:numPr>
          <w:ilvl w:val="0"/>
          <w:numId w:val="8"/>
        </w:numPr>
        <w:tabs>
          <w:tab w:val="clear" w:pos="360"/>
          <w:tab w:val="num" w:pos="426"/>
        </w:tabs>
        <w:spacing w:after="0"/>
        <w:ind w:left="426" w:hanging="426"/>
        <w:jc w:val="both"/>
        <w:rPr>
          <w:rFonts w:ascii="Tahoma" w:hAnsi="Tahoma" w:cs="Tahoma"/>
          <w:sz w:val="22"/>
          <w:szCs w:val="22"/>
        </w:rPr>
      </w:pPr>
      <w:r w:rsidRPr="007A7260">
        <w:rPr>
          <w:rFonts w:ascii="Tahoma" w:hAnsi="Tahoma" w:cs="Tahoma"/>
          <w:sz w:val="22"/>
          <w:szCs w:val="22"/>
        </w:rPr>
        <w:t>En dicha Resoluci</w:t>
      </w:r>
      <w:r>
        <w:rPr>
          <w:rFonts w:ascii="Tahoma" w:hAnsi="Tahoma" w:cs="Tahoma"/>
          <w:sz w:val="22"/>
          <w:szCs w:val="22"/>
        </w:rPr>
        <w:t>ón se ha</w:t>
      </w:r>
      <w:r w:rsidRPr="007A7260">
        <w:rPr>
          <w:rFonts w:ascii="Tahoma" w:hAnsi="Tahoma" w:cs="Tahoma"/>
          <w:sz w:val="22"/>
          <w:szCs w:val="22"/>
        </w:rPr>
        <w:t xml:space="preserve"> detectado la existencia de errores materiales que deben ser corregidos por este Tribunal.</w:t>
      </w:r>
    </w:p>
    <w:p w:rsidR="004665DA" w:rsidRPr="004665DA" w:rsidRDefault="004665DA" w:rsidP="004665DA">
      <w:pPr>
        <w:contextualSpacing/>
        <w:jc w:val="both"/>
        <w:rPr>
          <w:rFonts w:ascii="Tahoma" w:hAnsi="Tahoma" w:cs="Tahoma"/>
          <w:sz w:val="22"/>
          <w:szCs w:val="22"/>
        </w:rPr>
      </w:pPr>
    </w:p>
    <w:p w:rsidR="004665DA" w:rsidRPr="004665DA" w:rsidRDefault="004665DA" w:rsidP="004665DA">
      <w:pPr>
        <w:ind w:left="426"/>
        <w:jc w:val="both"/>
        <w:rPr>
          <w:rFonts w:ascii="Tahoma" w:hAnsi="Tahoma" w:cs="Tahoma"/>
          <w:b/>
          <w:shadow/>
          <w:sz w:val="22"/>
          <w:szCs w:val="22"/>
        </w:rPr>
      </w:pPr>
      <w:r w:rsidRPr="004665DA">
        <w:rPr>
          <w:rFonts w:ascii="Tahoma" w:hAnsi="Tahoma" w:cs="Tahoma"/>
          <w:b/>
          <w:sz w:val="22"/>
          <w:szCs w:val="22"/>
        </w:rPr>
        <w:t>FUNDAMENTACIÓN:</w:t>
      </w:r>
    </w:p>
    <w:p w:rsidR="004665DA" w:rsidRPr="005D02CA" w:rsidRDefault="004665DA" w:rsidP="004665DA">
      <w:pPr>
        <w:pStyle w:val="Prrafodelista"/>
        <w:ind w:left="567"/>
        <w:jc w:val="both"/>
        <w:rPr>
          <w:rFonts w:ascii="Tahoma" w:hAnsi="Tahoma" w:cs="Tahoma"/>
          <w:b/>
          <w:shadow/>
          <w:sz w:val="22"/>
          <w:szCs w:val="22"/>
        </w:rPr>
      </w:pPr>
    </w:p>
    <w:p w:rsidR="004665DA" w:rsidRPr="007A7260" w:rsidRDefault="004665DA" w:rsidP="004665DA">
      <w:pPr>
        <w:pStyle w:val="Textoindependiente"/>
        <w:numPr>
          <w:ilvl w:val="0"/>
          <w:numId w:val="9"/>
        </w:numPr>
        <w:tabs>
          <w:tab w:val="clear" w:pos="360"/>
          <w:tab w:val="num" w:pos="426"/>
        </w:tabs>
        <w:spacing w:after="0"/>
        <w:ind w:left="426" w:hanging="426"/>
        <w:jc w:val="both"/>
        <w:rPr>
          <w:rFonts w:ascii="Tahoma" w:hAnsi="Tahoma" w:cs="Tahoma"/>
          <w:sz w:val="22"/>
          <w:szCs w:val="22"/>
        </w:rPr>
      </w:pPr>
      <w:r w:rsidRPr="007A7260">
        <w:rPr>
          <w:rFonts w:ascii="Tahoma" w:hAnsi="Tahoma" w:cs="Tahoma"/>
          <w:sz w:val="22"/>
          <w:szCs w:val="22"/>
        </w:rPr>
        <w:t>De conformidad con lo establecido en el artículos 63º de la Ley de Contrataciones del Estado, aprobado por Decreto Legislativo № 1017, este Tribunal expide Resoluciones con la finalidad de resolver los asuntos sometidos a su competencia.</w:t>
      </w:r>
    </w:p>
    <w:p w:rsidR="004665DA" w:rsidRPr="007A7260" w:rsidRDefault="004665DA" w:rsidP="004665DA">
      <w:pPr>
        <w:pStyle w:val="Textoindependiente"/>
        <w:tabs>
          <w:tab w:val="num" w:pos="426"/>
        </w:tabs>
        <w:ind w:left="360"/>
        <w:rPr>
          <w:rFonts w:ascii="Tahoma" w:hAnsi="Tahoma" w:cs="Tahoma"/>
          <w:sz w:val="22"/>
          <w:szCs w:val="22"/>
        </w:rPr>
      </w:pPr>
    </w:p>
    <w:p w:rsidR="004665DA" w:rsidRPr="007A7260" w:rsidRDefault="004665DA" w:rsidP="004665DA">
      <w:pPr>
        <w:pStyle w:val="Textoindependiente"/>
        <w:numPr>
          <w:ilvl w:val="0"/>
          <w:numId w:val="9"/>
        </w:numPr>
        <w:tabs>
          <w:tab w:val="clear" w:pos="360"/>
          <w:tab w:val="num" w:pos="426"/>
        </w:tabs>
        <w:spacing w:after="0"/>
        <w:ind w:left="426" w:hanging="426"/>
        <w:jc w:val="both"/>
        <w:rPr>
          <w:rFonts w:ascii="Tahoma" w:hAnsi="Tahoma" w:cs="Tahoma"/>
          <w:sz w:val="22"/>
          <w:szCs w:val="22"/>
        </w:rPr>
      </w:pPr>
      <w:r w:rsidRPr="007A7260">
        <w:rPr>
          <w:rFonts w:ascii="Tahoma" w:hAnsi="Tahoma" w:cs="Tahoma"/>
          <w:sz w:val="22"/>
          <w:szCs w:val="22"/>
        </w:rPr>
        <w:t>En este sentido, debe tenerse presente que los errores materiales o aritméticos contenidos en los actos administrativos pueden ser rectificados con efecto retroactivo, en cualquier momento, de oficio o a instancia de los administrados, siempre que no se altere lo sustancial de su contenido ni el sentido de la decisión, según lo prescrito en el artículo 201 de la Ley del Procedimiento Administrativo General, Ley № 27444.</w:t>
      </w:r>
    </w:p>
    <w:p w:rsidR="004665DA" w:rsidRPr="007A7260" w:rsidRDefault="004665DA" w:rsidP="004665DA">
      <w:pPr>
        <w:pStyle w:val="Prrafodelista"/>
        <w:rPr>
          <w:rFonts w:ascii="Tahoma" w:hAnsi="Tahoma" w:cs="Tahoma"/>
        </w:rPr>
      </w:pPr>
    </w:p>
    <w:p w:rsidR="004665DA" w:rsidRPr="007A7260" w:rsidRDefault="004665DA" w:rsidP="004665DA">
      <w:pPr>
        <w:pStyle w:val="Textoindependiente"/>
        <w:numPr>
          <w:ilvl w:val="0"/>
          <w:numId w:val="9"/>
        </w:numPr>
        <w:tabs>
          <w:tab w:val="clear" w:pos="360"/>
          <w:tab w:val="num" w:pos="426"/>
        </w:tabs>
        <w:spacing w:after="0"/>
        <w:ind w:left="426" w:hanging="426"/>
        <w:jc w:val="both"/>
        <w:rPr>
          <w:rFonts w:ascii="Tahoma" w:hAnsi="Tahoma" w:cs="Tahoma"/>
          <w:sz w:val="22"/>
          <w:szCs w:val="22"/>
        </w:rPr>
      </w:pPr>
      <w:r w:rsidRPr="007A7260">
        <w:rPr>
          <w:rFonts w:ascii="Tahoma" w:hAnsi="Tahoma" w:cs="Tahoma"/>
          <w:sz w:val="22"/>
          <w:szCs w:val="22"/>
        </w:rPr>
        <w:t xml:space="preserve">En este orden de ideas, se ha advertido la existencia de errores materiales en la  Resolución № </w:t>
      </w:r>
      <w:r>
        <w:rPr>
          <w:rFonts w:ascii="Tahoma" w:hAnsi="Tahoma" w:cs="Tahoma"/>
          <w:sz w:val="22"/>
          <w:szCs w:val="22"/>
        </w:rPr>
        <w:t>2267</w:t>
      </w:r>
      <w:r w:rsidRPr="007A7260">
        <w:rPr>
          <w:rFonts w:ascii="Tahoma" w:hAnsi="Tahoma" w:cs="Tahoma"/>
          <w:sz w:val="22"/>
          <w:szCs w:val="22"/>
        </w:rPr>
        <w:t>-2010-TC-S1, que es necesario corregir.</w:t>
      </w:r>
    </w:p>
    <w:p w:rsidR="004665DA" w:rsidRPr="004665DA" w:rsidRDefault="004665DA" w:rsidP="004665DA">
      <w:pPr>
        <w:jc w:val="both"/>
        <w:rPr>
          <w:rFonts w:ascii="Tahoma" w:hAnsi="Tahoma" w:cs="Tahoma"/>
          <w:sz w:val="22"/>
          <w:szCs w:val="22"/>
        </w:rPr>
      </w:pPr>
    </w:p>
    <w:p w:rsidR="004665DA" w:rsidRPr="005D02CA" w:rsidRDefault="004665DA" w:rsidP="004665DA">
      <w:pPr>
        <w:tabs>
          <w:tab w:val="left" w:pos="851"/>
        </w:tabs>
        <w:autoSpaceDE w:val="0"/>
        <w:autoSpaceDN w:val="0"/>
        <w:adjustRightInd w:val="0"/>
        <w:ind w:left="426" w:hanging="1440"/>
        <w:jc w:val="both"/>
        <w:rPr>
          <w:rFonts w:ascii="Tahoma" w:eastAsiaTheme="minorHAnsi" w:hAnsi="Tahoma" w:cs="Tahoma"/>
          <w:color w:val="000000"/>
          <w:sz w:val="22"/>
          <w:szCs w:val="22"/>
          <w:lang w:eastAsia="en-US"/>
        </w:rPr>
      </w:pPr>
      <w:r w:rsidRPr="005D02CA">
        <w:rPr>
          <w:rFonts w:ascii="Tahoma" w:eastAsiaTheme="minorHAnsi" w:hAnsi="Tahoma" w:cs="Tahoma"/>
          <w:color w:val="000000"/>
          <w:sz w:val="22"/>
          <w:szCs w:val="22"/>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4665DA" w:rsidRPr="005D02CA" w:rsidRDefault="004665DA" w:rsidP="004665DA">
      <w:pPr>
        <w:jc w:val="both"/>
        <w:rPr>
          <w:rFonts w:ascii="Tahoma" w:hAnsi="Tahoma" w:cs="Tahoma"/>
          <w:sz w:val="22"/>
          <w:szCs w:val="22"/>
        </w:rPr>
      </w:pPr>
    </w:p>
    <w:p w:rsidR="004665DA" w:rsidRPr="005D02CA" w:rsidRDefault="004665DA" w:rsidP="004665DA">
      <w:pPr>
        <w:ind w:left="426"/>
        <w:jc w:val="both"/>
        <w:rPr>
          <w:rFonts w:ascii="Tahoma" w:hAnsi="Tahoma" w:cs="Tahoma"/>
          <w:b/>
          <w:sz w:val="22"/>
          <w:szCs w:val="22"/>
        </w:rPr>
      </w:pPr>
      <w:r w:rsidRPr="005D02CA">
        <w:rPr>
          <w:rFonts w:ascii="Tahoma" w:hAnsi="Tahoma" w:cs="Tahoma"/>
          <w:b/>
          <w:sz w:val="22"/>
          <w:szCs w:val="22"/>
        </w:rPr>
        <w:t xml:space="preserve">LA SALA RESUELVE: </w:t>
      </w:r>
    </w:p>
    <w:p w:rsidR="004665DA" w:rsidRPr="005D02CA" w:rsidRDefault="004665DA" w:rsidP="004665DA">
      <w:pPr>
        <w:jc w:val="both"/>
        <w:rPr>
          <w:rFonts w:ascii="Tahoma" w:hAnsi="Tahoma" w:cs="Tahoma"/>
          <w:snapToGrid w:val="0"/>
          <w:sz w:val="22"/>
          <w:szCs w:val="22"/>
        </w:rPr>
      </w:pPr>
    </w:p>
    <w:p w:rsidR="004665DA" w:rsidRPr="007A7260" w:rsidRDefault="004665DA" w:rsidP="004665DA">
      <w:pPr>
        <w:numPr>
          <w:ilvl w:val="0"/>
          <w:numId w:val="10"/>
        </w:numPr>
        <w:tabs>
          <w:tab w:val="clear" w:pos="720"/>
          <w:tab w:val="num" w:pos="851"/>
        </w:tabs>
        <w:ind w:left="426" w:hanging="398"/>
        <w:jc w:val="both"/>
        <w:rPr>
          <w:rFonts w:ascii="Tahoma" w:hAnsi="Tahoma" w:cs="Tahoma"/>
          <w:i/>
          <w:sz w:val="22"/>
          <w:szCs w:val="22"/>
        </w:rPr>
      </w:pPr>
      <w:r w:rsidRPr="007A7260">
        <w:rPr>
          <w:rFonts w:ascii="Tahoma" w:hAnsi="Tahoma" w:cs="Tahoma"/>
          <w:sz w:val="22"/>
          <w:szCs w:val="22"/>
        </w:rPr>
        <w:t>Rectificar el error material incurrido en la parte i</w:t>
      </w:r>
      <w:r>
        <w:rPr>
          <w:rFonts w:ascii="Tahoma" w:hAnsi="Tahoma" w:cs="Tahoma"/>
          <w:sz w:val="22"/>
          <w:szCs w:val="22"/>
        </w:rPr>
        <w:t>ntroductoria de la Resolución № 2267</w:t>
      </w:r>
      <w:r w:rsidRPr="007A7260">
        <w:rPr>
          <w:rFonts w:ascii="Tahoma" w:hAnsi="Tahoma" w:cs="Tahoma"/>
          <w:sz w:val="22"/>
          <w:szCs w:val="22"/>
        </w:rPr>
        <w:t>-2010-TC-S1</w:t>
      </w:r>
      <w:r>
        <w:rPr>
          <w:rFonts w:ascii="Tahoma" w:hAnsi="Tahoma" w:cs="Tahoma"/>
          <w:sz w:val="22"/>
          <w:szCs w:val="22"/>
        </w:rPr>
        <w:t xml:space="preserve"> </w:t>
      </w:r>
      <w:r w:rsidRPr="007A7260">
        <w:rPr>
          <w:rFonts w:ascii="Tahoma" w:hAnsi="Tahoma" w:cs="Tahoma"/>
          <w:sz w:val="22"/>
          <w:szCs w:val="22"/>
        </w:rPr>
        <w:t xml:space="preserve">del 30 de </w:t>
      </w:r>
      <w:r>
        <w:rPr>
          <w:rFonts w:ascii="Tahoma" w:hAnsi="Tahoma" w:cs="Tahoma"/>
          <w:sz w:val="22"/>
          <w:szCs w:val="22"/>
        </w:rPr>
        <w:t>noviembre</w:t>
      </w:r>
      <w:r w:rsidRPr="007A7260">
        <w:rPr>
          <w:rFonts w:ascii="Tahoma" w:hAnsi="Tahoma" w:cs="Tahoma"/>
          <w:sz w:val="22"/>
          <w:szCs w:val="22"/>
        </w:rPr>
        <w:t xml:space="preserve"> de 2010, en los siguientes términos: </w:t>
      </w:r>
    </w:p>
    <w:p w:rsidR="004665DA" w:rsidRPr="007A7260" w:rsidRDefault="004665DA" w:rsidP="004665DA">
      <w:pPr>
        <w:tabs>
          <w:tab w:val="num" w:pos="426"/>
        </w:tabs>
        <w:ind w:hanging="682"/>
        <w:jc w:val="both"/>
        <w:rPr>
          <w:rFonts w:ascii="Tahoma" w:hAnsi="Tahoma" w:cs="Tahoma"/>
          <w:sz w:val="22"/>
          <w:szCs w:val="22"/>
        </w:rPr>
      </w:pPr>
    </w:p>
    <w:p w:rsidR="004665DA" w:rsidRPr="007A7260" w:rsidRDefault="004665DA" w:rsidP="004665DA">
      <w:pPr>
        <w:tabs>
          <w:tab w:val="num" w:pos="426"/>
        </w:tabs>
        <w:ind w:left="540" w:hanging="114"/>
        <w:jc w:val="both"/>
        <w:rPr>
          <w:rFonts w:ascii="Tahoma" w:hAnsi="Tahoma" w:cs="Tahoma"/>
          <w:sz w:val="22"/>
          <w:szCs w:val="22"/>
        </w:rPr>
      </w:pPr>
      <w:r w:rsidRPr="007A7260">
        <w:rPr>
          <w:rFonts w:ascii="Tahoma" w:hAnsi="Tahoma" w:cs="Tahoma"/>
          <w:sz w:val="22"/>
          <w:szCs w:val="22"/>
        </w:rPr>
        <w:t xml:space="preserve">Dice: </w:t>
      </w:r>
    </w:p>
    <w:p w:rsidR="004665DA" w:rsidRPr="007A7260" w:rsidRDefault="004665DA" w:rsidP="004665DA">
      <w:pPr>
        <w:tabs>
          <w:tab w:val="num" w:pos="426"/>
        </w:tabs>
        <w:ind w:left="567" w:hanging="141"/>
        <w:jc w:val="both"/>
        <w:rPr>
          <w:rFonts w:ascii="Tahoma" w:hAnsi="Tahoma" w:cs="Tahoma"/>
          <w:i/>
          <w:sz w:val="22"/>
          <w:szCs w:val="22"/>
        </w:rPr>
      </w:pPr>
      <w:r w:rsidRPr="007A7260">
        <w:rPr>
          <w:rFonts w:ascii="Tahoma" w:hAnsi="Tahoma" w:cs="Tahoma"/>
          <w:b/>
          <w:i/>
          <w:sz w:val="22"/>
          <w:szCs w:val="22"/>
        </w:rPr>
        <w:t>“Visto,</w:t>
      </w:r>
      <w:r w:rsidRPr="007A7260">
        <w:rPr>
          <w:rFonts w:ascii="Tahoma" w:hAnsi="Tahoma" w:cs="Tahoma"/>
          <w:i/>
          <w:sz w:val="22"/>
          <w:szCs w:val="22"/>
        </w:rPr>
        <w:t xml:space="preserve"> en sesión de fecha 30 de </w:t>
      </w:r>
      <w:r>
        <w:rPr>
          <w:rFonts w:ascii="Tahoma" w:hAnsi="Tahoma" w:cs="Tahoma"/>
          <w:i/>
          <w:sz w:val="22"/>
          <w:szCs w:val="22"/>
        </w:rPr>
        <w:t xml:space="preserve">noviembre de 2010 de la Primera Sala del Tribunal de Contrataciones y Adquisiciones del Estado el Expediente Nº 3614/2007.TC referido al procedimiento administrativo sancionador iniciado contra el CONSORCIO LIBAN, integrado por las empresas MAQUINARIA CONSTRUCCION Y MINERIA S.A.C. Y JJM CONTRATISTAS GENERALES S.R.L., por su presunta responsabilidad en la presentación de documentos falsos y/o inexactos, durante su participación en la resolución del Contrato Nº 066-2006-UNFV, por causa atribuible a su parte, derivado de la Licitación </w:t>
      </w:r>
      <w:r w:rsidR="000900F8">
        <w:rPr>
          <w:rFonts w:ascii="Tahoma" w:hAnsi="Tahoma" w:cs="Tahoma"/>
          <w:i/>
          <w:sz w:val="22"/>
          <w:szCs w:val="22"/>
        </w:rPr>
        <w:t>Pública</w:t>
      </w:r>
      <w:r>
        <w:rPr>
          <w:rFonts w:ascii="Tahoma" w:hAnsi="Tahoma" w:cs="Tahoma"/>
          <w:i/>
          <w:sz w:val="22"/>
          <w:szCs w:val="22"/>
        </w:rPr>
        <w:t xml:space="preserve"> Nº 007-2007-SEDALIB, convocada por el Servicio de Agua Potable y Alcantarillado de la Libertad (SEDALIB), con el objeto de ejecutar la obra: “Ampliación de redes de agua potable y alcantarillado sanitario del AA.HH. Las Palmeras- La Esperanza”; y atendiendo a los siguientes:”</w:t>
      </w:r>
    </w:p>
    <w:p w:rsidR="004665DA" w:rsidRPr="007A7260" w:rsidRDefault="004665DA" w:rsidP="004665DA">
      <w:pPr>
        <w:tabs>
          <w:tab w:val="num" w:pos="426"/>
        </w:tabs>
        <w:ind w:left="540" w:hanging="682"/>
        <w:jc w:val="both"/>
        <w:rPr>
          <w:rFonts w:ascii="Tahoma" w:hAnsi="Tahoma" w:cs="Tahoma"/>
          <w:sz w:val="22"/>
          <w:szCs w:val="22"/>
        </w:rPr>
      </w:pPr>
    </w:p>
    <w:p w:rsidR="004665DA" w:rsidRPr="007A7260" w:rsidRDefault="004665DA" w:rsidP="004665DA">
      <w:pPr>
        <w:tabs>
          <w:tab w:val="num" w:pos="426"/>
        </w:tabs>
        <w:ind w:left="540" w:hanging="114"/>
        <w:jc w:val="both"/>
        <w:rPr>
          <w:rFonts w:ascii="Tahoma" w:hAnsi="Tahoma" w:cs="Tahoma"/>
          <w:sz w:val="22"/>
          <w:szCs w:val="22"/>
        </w:rPr>
      </w:pPr>
      <w:r w:rsidRPr="007A7260">
        <w:rPr>
          <w:rFonts w:ascii="Tahoma" w:hAnsi="Tahoma" w:cs="Tahoma"/>
          <w:sz w:val="22"/>
          <w:szCs w:val="22"/>
        </w:rPr>
        <w:t>Debe decir:</w:t>
      </w:r>
    </w:p>
    <w:p w:rsidR="004665DA" w:rsidRPr="007A7260" w:rsidRDefault="004665DA" w:rsidP="004665DA">
      <w:pPr>
        <w:tabs>
          <w:tab w:val="num" w:pos="426"/>
        </w:tabs>
        <w:ind w:left="567" w:hanging="141"/>
        <w:jc w:val="both"/>
        <w:rPr>
          <w:rFonts w:ascii="Tahoma" w:hAnsi="Tahoma" w:cs="Tahoma"/>
          <w:i/>
          <w:sz w:val="22"/>
          <w:szCs w:val="22"/>
        </w:rPr>
      </w:pPr>
      <w:r w:rsidRPr="007A7260">
        <w:rPr>
          <w:rFonts w:ascii="Tahoma" w:hAnsi="Tahoma" w:cs="Tahoma"/>
          <w:b/>
          <w:i/>
          <w:sz w:val="22"/>
          <w:szCs w:val="22"/>
        </w:rPr>
        <w:t>“Visto,</w:t>
      </w:r>
      <w:r w:rsidRPr="007A7260">
        <w:rPr>
          <w:rFonts w:ascii="Tahoma" w:hAnsi="Tahoma" w:cs="Tahoma"/>
          <w:i/>
          <w:sz w:val="22"/>
          <w:szCs w:val="22"/>
        </w:rPr>
        <w:t xml:space="preserve"> en sesión de fecha 30 de </w:t>
      </w:r>
      <w:r>
        <w:rPr>
          <w:rFonts w:ascii="Tahoma" w:hAnsi="Tahoma" w:cs="Tahoma"/>
          <w:i/>
          <w:sz w:val="22"/>
          <w:szCs w:val="22"/>
        </w:rPr>
        <w:t xml:space="preserve">noviembre de 2010 de la Primera Sala del Tribunal de Contrataciones y Adquisiciones del Estado el Expediente Nº 3614/2007.TC referido al procedimiento administrativo sancionador iniciado contra el CONSORCIO LIBAN, integrado por las empresas MAQUINARIA CONSTRUCCION Y MINERIA S.A.C. Y J.J.M. CONTRATISTAS GENERALES S.R.L., por su presunta responsabilidad en la presentación de documentos falsos y/o inexactos, durante su participación en la resolución del Contrato Nº 066-23006-UNFV, por causa atribuible a su parte, derivado de la Licitación </w:t>
      </w:r>
      <w:r w:rsidR="000900F8">
        <w:rPr>
          <w:rFonts w:ascii="Tahoma" w:hAnsi="Tahoma" w:cs="Tahoma"/>
          <w:i/>
          <w:sz w:val="22"/>
          <w:szCs w:val="22"/>
        </w:rPr>
        <w:t>Pública</w:t>
      </w:r>
      <w:r>
        <w:rPr>
          <w:rFonts w:ascii="Tahoma" w:hAnsi="Tahoma" w:cs="Tahoma"/>
          <w:i/>
          <w:sz w:val="22"/>
          <w:szCs w:val="22"/>
        </w:rPr>
        <w:t xml:space="preserve"> Nº 007-2007-SEDALIB, convocada por el Servicio de Agua Potable y Alcantarillado de la </w:t>
      </w:r>
      <w:r>
        <w:rPr>
          <w:rFonts w:ascii="Tahoma" w:hAnsi="Tahoma" w:cs="Tahoma"/>
          <w:i/>
          <w:sz w:val="22"/>
          <w:szCs w:val="22"/>
        </w:rPr>
        <w:lastRenderedPageBreak/>
        <w:t>Libertad (SEDALIB), con el objeto de ejecutar la obra: “Ampliación de redes de agua potable y alcantarillado sanitario del AA.HH. Las Palmeras- La Esperanza”; y atendiendo a los siguientes:”</w:t>
      </w:r>
    </w:p>
    <w:p w:rsidR="004665DA" w:rsidRPr="007A7260" w:rsidRDefault="004665DA" w:rsidP="004665DA">
      <w:pPr>
        <w:tabs>
          <w:tab w:val="num" w:pos="426"/>
        </w:tabs>
        <w:ind w:hanging="682"/>
        <w:rPr>
          <w:rFonts w:ascii="Tahoma" w:hAnsi="Tahoma" w:cs="Tahoma"/>
          <w:sz w:val="22"/>
          <w:szCs w:val="22"/>
        </w:rPr>
      </w:pPr>
    </w:p>
    <w:p w:rsidR="004665DA" w:rsidRPr="00A8064E" w:rsidRDefault="004665DA" w:rsidP="004665DA">
      <w:pPr>
        <w:numPr>
          <w:ilvl w:val="0"/>
          <w:numId w:val="10"/>
        </w:numPr>
        <w:tabs>
          <w:tab w:val="clear" w:pos="720"/>
          <w:tab w:val="num" w:pos="993"/>
        </w:tabs>
        <w:ind w:left="426" w:hanging="426"/>
        <w:jc w:val="both"/>
        <w:rPr>
          <w:rFonts w:ascii="Tahoma" w:hAnsi="Tahoma" w:cs="Tahoma"/>
          <w:i/>
          <w:sz w:val="22"/>
          <w:szCs w:val="22"/>
        </w:rPr>
      </w:pPr>
      <w:r>
        <w:rPr>
          <w:rFonts w:ascii="Tahoma" w:hAnsi="Tahoma" w:cs="Tahoma"/>
          <w:sz w:val="22"/>
          <w:szCs w:val="22"/>
        </w:rPr>
        <w:t>Dejar establecido</w:t>
      </w:r>
      <w:r w:rsidRPr="00DE2BA1">
        <w:rPr>
          <w:rFonts w:ascii="Tahoma" w:hAnsi="Tahoma" w:cs="Tahoma"/>
          <w:sz w:val="22"/>
          <w:szCs w:val="22"/>
        </w:rPr>
        <w:t xml:space="preserve"> que </w:t>
      </w:r>
      <w:r>
        <w:rPr>
          <w:rFonts w:ascii="Tahoma" w:hAnsi="Tahoma" w:cs="Tahoma"/>
          <w:sz w:val="22"/>
          <w:szCs w:val="22"/>
        </w:rPr>
        <w:t xml:space="preserve">en los demás extremos donde </w:t>
      </w:r>
      <w:r w:rsidRPr="00DE2BA1">
        <w:rPr>
          <w:rFonts w:ascii="Tahoma" w:hAnsi="Tahoma" w:cs="Tahoma"/>
          <w:sz w:val="22"/>
          <w:szCs w:val="22"/>
        </w:rPr>
        <w:t xml:space="preserve">la Resolución № 2267-2010-TC-S1 </w:t>
      </w:r>
      <w:r w:rsidRPr="007A7260">
        <w:rPr>
          <w:rFonts w:ascii="Tahoma" w:hAnsi="Tahoma" w:cs="Tahoma"/>
          <w:sz w:val="22"/>
          <w:szCs w:val="22"/>
        </w:rPr>
        <w:t xml:space="preserve">del 30 de </w:t>
      </w:r>
      <w:r>
        <w:rPr>
          <w:rFonts w:ascii="Tahoma" w:hAnsi="Tahoma" w:cs="Tahoma"/>
          <w:sz w:val="22"/>
          <w:szCs w:val="22"/>
        </w:rPr>
        <w:t>noviembre</w:t>
      </w:r>
      <w:r w:rsidRPr="007A7260">
        <w:rPr>
          <w:rFonts w:ascii="Tahoma" w:hAnsi="Tahoma" w:cs="Tahoma"/>
          <w:sz w:val="22"/>
          <w:szCs w:val="22"/>
        </w:rPr>
        <w:t xml:space="preserve"> de 2010</w:t>
      </w:r>
      <w:r>
        <w:rPr>
          <w:rFonts w:ascii="Tahoma" w:hAnsi="Tahoma" w:cs="Tahoma"/>
          <w:sz w:val="22"/>
          <w:szCs w:val="22"/>
        </w:rPr>
        <w:t xml:space="preserve">, </w:t>
      </w:r>
      <w:r w:rsidRPr="00A8064E">
        <w:rPr>
          <w:rFonts w:ascii="Tahoma" w:hAnsi="Tahoma" w:cs="Tahoma"/>
          <w:sz w:val="22"/>
          <w:szCs w:val="22"/>
        </w:rPr>
        <w:t>nombra a la empresa JJM CONTRATISTAS GENERALES S.R.L. se ha producido la debida rectificación, entendiéndose que se hace alusión a la empresa J.J.M. CONTRATISTAS GENERALES S.R.L.</w:t>
      </w:r>
    </w:p>
    <w:p w:rsidR="004665DA" w:rsidRPr="00E60AFE" w:rsidRDefault="004665DA" w:rsidP="004665DA">
      <w:pPr>
        <w:tabs>
          <w:tab w:val="num" w:pos="426"/>
          <w:tab w:val="num" w:pos="540"/>
        </w:tabs>
        <w:ind w:left="540" w:hanging="682"/>
        <w:jc w:val="both"/>
        <w:rPr>
          <w:rFonts w:ascii="Tahoma" w:hAnsi="Tahoma" w:cs="Tahoma"/>
          <w:i/>
          <w:sz w:val="22"/>
          <w:szCs w:val="22"/>
        </w:rPr>
      </w:pPr>
    </w:p>
    <w:p w:rsidR="004665DA" w:rsidRPr="004665DA" w:rsidRDefault="004665DA" w:rsidP="004665DA">
      <w:pPr>
        <w:numPr>
          <w:ilvl w:val="0"/>
          <w:numId w:val="10"/>
        </w:numPr>
        <w:tabs>
          <w:tab w:val="clear" w:pos="720"/>
          <w:tab w:val="num" w:pos="851"/>
        </w:tabs>
        <w:ind w:left="426" w:hanging="426"/>
        <w:jc w:val="both"/>
        <w:rPr>
          <w:rFonts w:ascii="Tahoma" w:hAnsi="Tahoma" w:cs="Tahoma"/>
          <w:i/>
          <w:sz w:val="22"/>
          <w:szCs w:val="22"/>
        </w:rPr>
      </w:pPr>
      <w:r w:rsidRPr="007A7260">
        <w:rPr>
          <w:rFonts w:ascii="Tahoma" w:hAnsi="Tahoma" w:cs="Tahoma"/>
          <w:sz w:val="22"/>
          <w:szCs w:val="22"/>
        </w:rPr>
        <w:t xml:space="preserve">Dejar subsistente en sus demás extremos la </w:t>
      </w:r>
      <w:r>
        <w:rPr>
          <w:rFonts w:ascii="Tahoma" w:hAnsi="Tahoma" w:cs="Tahoma"/>
          <w:sz w:val="22"/>
          <w:szCs w:val="22"/>
        </w:rPr>
        <w:t xml:space="preserve">Resolución </w:t>
      </w:r>
      <w:r w:rsidRPr="007A7260">
        <w:rPr>
          <w:rFonts w:ascii="Tahoma" w:hAnsi="Tahoma" w:cs="Tahoma"/>
          <w:sz w:val="22"/>
          <w:szCs w:val="22"/>
        </w:rPr>
        <w:t xml:space="preserve">№ </w:t>
      </w:r>
      <w:r w:rsidRPr="00DE2BA1">
        <w:rPr>
          <w:rFonts w:ascii="Tahoma" w:hAnsi="Tahoma" w:cs="Tahoma"/>
          <w:sz w:val="22"/>
          <w:szCs w:val="22"/>
        </w:rPr>
        <w:t>2267-2010-TC-S1</w:t>
      </w:r>
      <w:r>
        <w:rPr>
          <w:rFonts w:ascii="Tahoma" w:hAnsi="Tahoma" w:cs="Tahoma"/>
          <w:sz w:val="22"/>
          <w:szCs w:val="22"/>
        </w:rPr>
        <w:t xml:space="preserve"> </w:t>
      </w:r>
      <w:r w:rsidRPr="007A7260">
        <w:rPr>
          <w:rFonts w:ascii="Tahoma" w:hAnsi="Tahoma" w:cs="Tahoma"/>
          <w:sz w:val="22"/>
          <w:szCs w:val="22"/>
        </w:rPr>
        <w:t xml:space="preserve">del 30 de </w:t>
      </w:r>
      <w:r>
        <w:rPr>
          <w:rFonts w:ascii="Tahoma" w:hAnsi="Tahoma" w:cs="Tahoma"/>
          <w:sz w:val="22"/>
          <w:szCs w:val="22"/>
        </w:rPr>
        <w:t>noviembre</w:t>
      </w:r>
      <w:r w:rsidRPr="007A7260">
        <w:rPr>
          <w:rFonts w:ascii="Tahoma" w:hAnsi="Tahoma" w:cs="Tahoma"/>
          <w:sz w:val="22"/>
          <w:szCs w:val="22"/>
        </w:rPr>
        <w:t xml:space="preserve"> de 2010</w:t>
      </w:r>
      <w:r>
        <w:rPr>
          <w:rFonts w:ascii="Tahoma" w:hAnsi="Tahoma" w:cs="Tahoma"/>
          <w:sz w:val="22"/>
          <w:szCs w:val="22"/>
        </w:rPr>
        <w:t>.</w:t>
      </w:r>
    </w:p>
    <w:p w:rsidR="004665DA" w:rsidRPr="005D02CA" w:rsidRDefault="004665DA" w:rsidP="004665DA">
      <w:pPr>
        <w:pStyle w:val="Prrafodelista"/>
        <w:ind w:left="426"/>
        <w:jc w:val="both"/>
        <w:rPr>
          <w:rFonts w:ascii="Tahoma" w:hAnsi="Tahoma" w:cs="Tahoma"/>
          <w:color w:val="000000" w:themeColor="text1"/>
          <w:sz w:val="22"/>
          <w:szCs w:val="22"/>
          <w:lang w:val="es-ES"/>
        </w:rPr>
      </w:pPr>
    </w:p>
    <w:p w:rsidR="004665DA" w:rsidRPr="005D02CA" w:rsidRDefault="004665DA" w:rsidP="004665DA">
      <w:pPr>
        <w:pStyle w:val="Textoindependiente21"/>
        <w:ind w:firstLine="426"/>
        <w:rPr>
          <w:rFonts w:cs="Tahoma"/>
          <w:szCs w:val="22"/>
        </w:rPr>
      </w:pPr>
      <w:r w:rsidRPr="005D02CA">
        <w:rPr>
          <w:rFonts w:cs="Tahoma"/>
          <w:szCs w:val="22"/>
        </w:rPr>
        <w:t>Regístrese, comuníquese y publíquese.</w:t>
      </w: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1338E6">
      <w:pPr>
        <w:rPr>
          <w:rFonts w:ascii="Tahoma" w:hAnsi="Tahoma" w:cs="Tahoma"/>
          <w:b/>
          <w:sz w:val="22"/>
          <w:szCs w:val="22"/>
        </w:rPr>
      </w:pPr>
    </w:p>
    <w:p w:rsidR="004665DA" w:rsidRPr="005D02CA" w:rsidRDefault="004665DA" w:rsidP="004665DA">
      <w:pPr>
        <w:jc w:val="center"/>
        <w:rPr>
          <w:rFonts w:ascii="Tahoma" w:hAnsi="Tahoma" w:cs="Tahoma"/>
          <w:b/>
          <w:sz w:val="22"/>
          <w:szCs w:val="22"/>
        </w:rPr>
      </w:pPr>
    </w:p>
    <w:p w:rsidR="004665DA" w:rsidRPr="005D02CA" w:rsidRDefault="004665DA" w:rsidP="004665DA">
      <w:pPr>
        <w:jc w:val="center"/>
        <w:rPr>
          <w:rFonts w:ascii="Tahoma" w:hAnsi="Tahoma" w:cs="Tahoma"/>
          <w:b/>
          <w:shadow/>
          <w:sz w:val="22"/>
          <w:szCs w:val="22"/>
          <w:lang w:val="pt-BR"/>
        </w:rPr>
      </w:pPr>
      <w:r w:rsidRPr="005D02CA">
        <w:rPr>
          <w:rFonts w:ascii="Tahoma" w:hAnsi="Tahoma" w:cs="Tahoma"/>
          <w:b/>
          <w:shadow/>
          <w:sz w:val="22"/>
          <w:szCs w:val="22"/>
          <w:lang w:val="pt-BR"/>
        </w:rPr>
        <w:t>PRESIDENTE</w:t>
      </w:r>
    </w:p>
    <w:p w:rsidR="004665DA" w:rsidRPr="005D02CA" w:rsidRDefault="004665DA" w:rsidP="004665DA">
      <w:pPr>
        <w:ind w:firstLine="708"/>
        <w:rPr>
          <w:rFonts w:ascii="Tahoma" w:hAnsi="Tahoma" w:cs="Tahoma"/>
          <w:b/>
          <w:shadow/>
          <w:sz w:val="22"/>
          <w:szCs w:val="22"/>
          <w:lang w:val="pt-BR"/>
        </w:rPr>
      </w:pPr>
    </w:p>
    <w:p w:rsidR="004665DA" w:rsidRPr="005D02CA" w:rsidRDefault="004665DA" w:rsidP="004665DA">
      <w:pPr>
        <w:ind w:firstLine="708"/>
        <w:rPr>
          <w:rFonts w:ascii="Tahoma" w:hAnsi="Tahoma" w:cs="Tahoma"/>
          <w:b/>
          <w:shadow/>
          <w:sz w:val="22"/>
          <w:szCs w:val="22"/>
          <w:lang w:val="pt-BR"/>
        </w:rPr>
      </w:pPr>
      <w:r w:rsidRPr="005D02CA">
        <w:rPr>
          <w:rFonts w:ascii="Tahoma" w:hAnsi="Tahoma" w:cs="Tahoma"/>
          <w:b/>
          <w:shadow/>
          <w:sz w:val="22"/>
          <w:szCs w:val="22"/>
          <w:lang w:val="pt-BR"/>
        </w:rPr>
        <w:t xml:space="preserve">VOCAL           </w:t>
      </w:r>
      <w:r w:rsidRPr="005D02CA">
        <w:rPr>
          <w:rFonts w:ascii="Tahoma" w:hAnsi="Tahoma" w:cs="Tahoma"/>
          <w:b/>
          <w:shadow/>
          <w:sz w:val="22"/>
          <w:szCs w:val="22"/>
          <w:lang w:val="pt-BR"/>
        </w:rPr>
        <w:tab/>
      </w:r>
      <w:r w:rsidRPr="005D02CA">
        <w:rPr>
          <w:rFonts w:ascii="Tahoma" w:hAnsi="Tahoma" w:cs="Tahoma"/>
          <w:b/>
          <w:shadow/>
          <w:sz w:val="22"/>
          <w:szCs w:val="22"/>
          <w:lang w:val="pt-BR"/>
        </w:rPr>
        <w:tab/>
        <w:t xml:space="preserve">                                                                 VOCAL</w:t>
      </w:r>
    </w:p>
    <w:p w:rsidR="004665DA" w:rsidRPr="005D02CA" w:rsidRDefault="004665DA" w:rsidP="004665DA">
      <w:pPr>
        <w:rPr>
          <w:rFonts w:ascii="Tahoma" w:hAnsi="Tahoma" w:cs="Tahoma"/>
          <w:sz w:val="22"/>
          <w:szCs w:val="22"/>
          <w:lang w:val="pt-BR"/>
        </w:rPr>
      </w:pPr>
    </w:p>
    <w:p w:rsidR="004665DA" w:rsidRPr="005D02CA" w:rsidRDefault="004665DA" w:rsidP="004665DA">
      <w:pPr>
        <w:rPr>
          <w:rFonts w:ascii="Tahoma" w:hAnsi="Tahoma" w:cs="Tahoma"/>
          <w:sz w:val="22"/>
          <w:szCs w:val="22"/>
          <w:lang w:val="pt-BR"/>
        </w:rPr>
      </w:pPr>
    </w:p>
    <w:p w:rsidR="004665DA" w:rsidRPr="005D02CA" w:rsidRDefault="004665DA" w:rsidP="004665DA">
      <w:pPr>
        <w:jc w:val="both"/>
        <w:rPr>
          <w:rFonts w:ascii="Tahoma" w:hAnsi="Tahoma" w:cs="Tahoma"/>
          <w:sz w:val="22"/>
          <w:szCs w:val="22"/>
          <w:lang w:val="pt-BR"/>
        </w:rPr>
      </w:pPr>
      <w:r w:rsidRPr="005D02CA">
        <w:rPr>
          <w:rFonts w:ascii="Tahoma" w:hAnsi="Tahoma" w:cs="Tahoma"/>
          <w:sz w:val="22"/>
          <w:szCs w:val="22"/>
          <w:lang w:val="pt-BR"/>
        </w:rPr>
        <w:t>ss.</w:t>
      </w:r>
    </w:p>
    <w:p w:rsidR="004665DA" w:rsidRPr="005D02CA" w:rsidRDefault="004665DA" w:rsidP="004665DA">
      <w:pPr>
        <w:pStyle w:val="Textoindependiente21"/>
        <w:tabs>
          <w:tab w:val="left" w:pos="5250"/>
        </w:tabs>
        <w:rPr>
          <w:rFonts w:cs="Tahoma"/>
          <w:szCs w:val="22"/>
          <w:lang w:val="pt-BR"/>
        </w:rPr>
      </w:pPr>
      <w:r w:rsidRPr="005D02CA">
        <w:rPr>
          <w:rFonts w:cs="Tahoma"/>
          <w:szCs w:val="22"/>
          <w:lang w:val="pt-BR"/>
        </w:rPr>
        <w:t>Navas Rondón.</w:t>
      </w:r>
    </w:p>
    <w:p w:rsidR="004665DA" w:rsidRPr="005D02CA" w:rsidRDefault="004665DA" w:rsidP="004665DA">
      <w:pPr>
        <w:pStyle w:val="Textoindependiente21"/>
        <w:tabs>
          <w:tab w:val="left" w:pos="5250"/>
        </w:tabs>
        <w:rPr>
          <w:rFonts w:cs="Tahoma"/>
          <w:szCs w:val="22"/>
          <w:lang w:val="pt-BR"/>
        </w:rPr>
      </w:pPr>
      <w:r w:rsidRPr="005D02CA">
        <w:rPr>
          <w:rFonts w:cs="Tahoma"/>
          <w:szCs w:val="22"/>
        </w:rPr>
        <w:t>Ramírez Maynetto.</w:t>
      </w:r>
    </w:p>
    <w:p w:rsidR="004665DA" w:rsidRPr="005D02CA" w:rsidRDefault="004665DA" w:rsidP="004665DA">
      <w:pPr>
        <w:pStyle w:val="Textoindependiente21"/>
        <w:tabs>
          <w:tab w:val="left" w:pos="5250"/>
        </w:tabs>
        <w:rPr>
          <w:rFonts w:cs="Tahoma"/>
          <w:szCs w:val="22"/>
          <w:lang w:val="pt-BR"/>
        </w:rPr>
      </w:pPr>
      <w:r w:rsidRPr="005D02CA">
        <w:rPr>
          <w:rFonts w:cs="Tahoma"/>
          <w:szCs w:val="22"/>
          <w:lang w:val="pt-BR"/>
        </w:rPr>
        <w:t>Basulto Liewald.</w:t>
      </w:r>
    </w:p>
    <w:p w:rsidR="004665DA" w:rsidRPr="005D02CA" w:rsidRDefault="004665DA" w:rsidP="004665DA">
      <w:pPr>
        <w:rPr>
          <w:rFonts w:ascii="Tahoma" w:hAnsi="Tahoma" w:cs="Tahoma"/>
          <w:sz w:val="22"/>
          <w:szCs w:val="22"/>
        </w:rPr>
      </w:pPr>
    </w:p>
    <w:p w:rsidR="001D5C36" w:rsidRDefault="009E3BA2"/>
    <w:sectPr w:rsidR="001D5C36"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BA2" w:rsidRPr="005447E7" w:rsidRDefault="009E3BA2" w:rsidP="004665DA">
      <w:r>
        <w:separator/>
      </w:r>
    </w:p>
  </w:endnote>
  <w:endnote w:type="continuationSeparator" w:id="1">
    <w:p w:rsidR="009E3BA2" w:rsidRPr="005447E7" w:rsidRDefault="009E3BA2" w:rsidP="00466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D0AC4">
            <w:pPr>
              <w:pStyle w:val="Piedepgina"/>
              <w:jc w:val="center"/>
            </w:pPr>
            <w:r>
              <w:t xml:space="preserve">Página </w:t>
            </w:r>
            <w:r w:rsidR="00222C5C">
              <w:rPr>
                <w:b/>
              </w:rPr>
              <w:fldChar w:fldCharType="begin"/>
            </w:r>
            <w:r>
              <w:rPr>
                <w:b/>
              </w:rPr>
              <w:instrText>PAGE</w:instrText>
            </w:r>
            <w:r w:rsidR="00222C5C">
              <w:rPr>
                <w:b/>
              </w:rPr>
              <w:fldChar w:fldCharType="separate"/>
            </w:r>
            <w:r w:rsidR="005E3260">
              <w:rPr>
                <w:b/>
                <w:noProof/>
              </w:rPr>
              <w:t>1</w:t>
            </w:r>
            <w:r w:rsidR="00222C5C">
              <w:rPr>
                <w:b/>
              </w:rPr>
              <w:fldChar w:fldCharType="end"/>
            </w:r>
            <w:r>
              <w:t xml:space="preserve"> de </w:t>
            </w:r>
            <w:r w:rsidR="00222C5C">
              <w:rPr>
                <w:b/>
              </w:rPr>
              <w:fldChar w:fldCharType="begin"/>
            </w:r>
            <w:r>
              <w:rPr>
                <w:b/>
              </w:rPr>
              <w:instrText>NUMPAGES</w:instrText>
            </w:r>
            <w:r w:rsidR="00222C5C">
              <w:rPr>
                <w:b/>
              </w:rPr>
              <w:fldChar w:fldCharType="separate"/>
            </w:r>
            <w:r w:rsidR="005E3260">
              <w:rPr>
                <w:b/>
                <w:noProof/>
              </w:rPr>
              <w:t>3</w:t>
            </w:r>
            <w:r w:rsidR="00222C5C">
              <w:rPr>
                <w:b/>
              </w:rPr>
              <w:fldChar w:fldCharType="end"/>
            </w:r>
          </w:p>
        </w:sdtContent>
      </w:sdt>
    </w:sdtContent>
  </w:sdt>
  <w:p w:rsidR="0035353E" w:rsidRDefault="009E3BA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BA2" w:rsidRPr="005447E7" w:rsidRDefault="009E3BA2" w:rsidP="004665DA">
      <w:r>
        <w:separator/>
      </w:r>
    </w:p>
  </w:footnote>
  <w:footnote w:type="continuationSeparator" w:id="1">
    <w:p w:rsidR="009E3BA2" w:rsidRPr="005447E7" w:rsidRDefault="009E3BA2" w:rsidP="004665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260" w:rsidRDefault="005E3260" w:rsidP="005E3260">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E3260" w:rsidRDefault="005E3260" w:rsidP="005E3260">
    <w:pPr>
      <w:pStyle w:val="Encabezado"/>
      <w:rPr>
        <w:noProof/>
      </w:rPr>
    </w:pPr>
  </w:p>
  <w:p w:rsidR="005E3260" w:rsidRDefault="005E3260" w:rsidP="005E3260">
    <w:pPr>
      <w:pStyle w:val="Encabezado"/>
      <w:rPr>
        <w:noProof/>
      </w:rPr>
    </w:pPr>
  </w:p>
  <w:p w:rsidR="005E3260" w:rsidRDefault="005E3260" w:rsidP="005E3260">
    <w:pPr>
      <w:pStyle w:val="Encabezado"/>
      <w:rPr>
        <w:noProof/>
      </w:rPr>
    </w:pPr>
  </w:p>
  <w:p w:rsidR="005E3260" w:rsidRDefault="005E3260" w:rsidP="005E3260">
    <w:pPr>
      <w:pStyle w:val="Encabezado"/>
      <w:jc w:val="center"/>
    </w:pPr>
    <w:r>
      <w:rPr>
        <w:rFonts w:ascii="Monotype Corsiva" w:hAnsi="Monotype Corsiva"/>
        <w:b/>
        <w:sz w:val="44"/>
        <w:szCs w:val="44"/>
      </w:rPr>
      <w:t xml:space="preserve">Resolución Nº   </w:t>
    </w:r>
    <w:r>
      <w:rPr>
        <w:rFonts w:ascii="Tahoma" w:hAnsi="Tahoma" w:cs="Tahoma"/>
        <w:b/>
        <w:sz w:val="44"/>
        <w:szCs w:val="44"/>
      </w:rPr>
      <w:t>1000-2011-TC-S1</w:t>
    </w:r>
  </w:p>
  <w:p w:rsidR="005E3260" w:rsidRDefault="005E326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103"/>
    <w:multiLevelType w:val="hybridMultilevel"/>
    <w:tmpl w:val="426A6B1C"/>
    <w:lvl w:ilvl="0" w:tplc="AD7639CC">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6441A8F"/>
    <w:multiLevelType w:val="hybridMultilevel"/>
    <w:tmpl w:val="3D0673B4"/>
    <w:lvl w:ilvl="0" w:tplc="4B903FE0">
      <w:start w:val="1"/>
      <w:numFmt w:val="decimal"/>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916453D"/>
    <w:multiLevelType w:val="hybridMultilevel"/>
    <w:tmpl w:val="3F168A50"/>
    <w:lvl w:ilvl="0" w:tplc="92461B3C">
      <w:start w:val="1"/>
      <w:numFmt w:val="decimal"/>
      <w:lvlText w:val="%1."/>
      <w:lvlJc w:val="left"/>
      <w:pPr>
        <w:ind w:left="1120" w:hanging="360"/>
      </w:pPr>
      <w:rPr>
        <w:b/>
      </w:r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3">
    <w:nsid w:val="232456E8"/>
    <w:multiLevelType w:val="hybridMultilevel"/>
    <w:tmpl w:val="981AC1CC"/>
    <w:lvl w:ilvl="0" w:tplc="4B0A20F0">
      <w:start w:val="1"/>
      <w:numFmt w:val="decimal"/>
      <w:lvlText w:val="%1."/>
      <w:lvlJc w:val="left"/>
      <w:pPr>
        <w:ind w:left="360" w:hanging="360"/>
      </w:pPr>
      <w:rPr>
        <w:rFonts w:hint="default"/>
        <w:b/>
        <w:sz w:val="20"/>
        <w:szCs w:val="2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23885A7A"/>
    <w:multiLevelType w:val="hybridMultilevel"/>
    <w:tmpl w:val="744263CE"/>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F666219"/>
    <w:multiLevelType w:val="hybridMultilevel"/>
    <w:tmpl w:val="3B5C869E"/>
    <w:lvl w:ilvl="0" w:tplc="0C0A0001">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8">
    <w:nsid w:val="7466331F"/>
    <w:multiLevelType w:val="singleLevel"/>
    <w:tmpl w:val="53FECE84"/>
    <w:lvl w:ilvl="0">
      <w:start w:val="1"/>
      <w:numFmt w:val="decimal"/>
      <w:lvlText w:val="%1."/>
      <w:lvlJc w:val="left"/>
      <w:pPr>
        <w:tabs>
          <w:tab w:val="num" w:pos="360"/>
        </w:tabs>
        <w:ind w:left="360" w:hanging="360"/>
      </w:pPr>
      <w:rPr>
        <w:rFonts w:hint="default"/>
        <w:b/>
      </w:rPr>
    </w:lvl>
  </w:abstractNum>
  <w:abstractNum w:abstractNumId="9">
    <w:nsid w:val="79836EF7"/>
    <w:multiLevelType w:val="hybridMultilevel"/>
    <w:tmpl w:val="B8C85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9"/>
  </w:num>
  <w:num w:numId="5">
    <w:abstractNumId w:val="4"/>
  </w:num>
  <w:num w:numId="6">
    <w:abstractNumId w:val="7"/>
  </w:num>
  <w:num w:numId="7">
    <w:abstractNumId w:val="2"/>
  </w:num>
  <w:num w:numId="8">
    <w:abstractNumId w:val="0"/>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4665DA"/>
    <w:rsid w:val="00001FC4"/>
    <w:rsid w:val="000900F8"/>
    <w:rsid w:val="001338E6"/>
    <w:rsid w:val="00196655"/>
    <w:rsid w:val="00222C5C"/>
    <w:rsid w:val="002D0AC4"/>
    <w:rsid w:val="004665DA"/>
    <w:rsid w:val="00496AD0"/>
    <w:rsid w:val="005E3260"/>
    <w:rsid w:val="009E3B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5D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4665DA"/>
    <w:pPr>
      <w:spacing w:after="120"/>
    </w:pPr>
    <w:rPr>
      <w:sz w:val="16"/>
      <w:szCs w:val="16"/>
      <w:lang w:val="es-PE"/>
    </w:rPr>
  </w:style>
  <w:style w:type="character" w:customStyle="1" w:styleId="Textoindependiente3Car">
    <w:name w:val="Texto independiente 3 Car"/>
    <w:basedOn w:val="Fuentedeprrafopredeter"/>
    <w:link w:val="Textoindependiente3"/>
    <w:rsid w:val="004665D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4665DA"/>
    <w:pPr>
      <w:jc w:val="both"/>
    </w:pPr>
    <w:rPr>
      <w:rFonts w:ascii="Tahoma" w:hAnsi="Tahoma"/>
      <w:sz w:val="22"/>
      <w:szCs w:val="20"/>
    </w:rPr>
  </w:style>
  <w:style w:type="paragraph" w:styleId="Prrafodelista">
    <w:name w:val="List Paragraph"/>
    <w:basedOn w:val="Normal"/>
    <w:uiPriority w:val="34"/>
    <w:qFormat/>
    <w:rsid w:val="004665DA"/>
    <w:pPr>
      <w:widowControl w:val="0"/>
      <w:suppressAutoHyphens/>
      <w:ind w:left="708"/>
    </w:pPr>
    <w:rPr>
      <w:szCs w:val="20"/>
      <w:lang w:val="es-ES_tradnl"/>
    </w:rPr>
  </w:style>
  <w:style w:type="paragraph" w:styleId="Piedepgina">
    <w:name w:val="footer"/>
    <w:basedOn w:val="Normal"/>
    <w:link w:val="PiedepginaCar"/>
    <w:uiPriority w:val="99"/>
    <w:unhideWhenUsed/>
    <w:rsid w:val="004665DA"/>
    <w:pPr>
      <w:tabs>
        <w:tab w:val="center" w:pos="4252"/>
        <w:tab w:val="right" w:pos="8504"/>
      </w:tabs>
    </w:pPr>
  </w:style>
  <w:style w:type="character" w:customStyle="1" w:styleId="PiedepginaCar">
    <w:name w:val="Pie de página Car"/>
    <w:basedOn w:val="Fuentedeprrafopredeter"/>
    <w:link w:val="Piedepgina"/>
    <w:uiPriority w:val="99"/>
    <w:rsid w:val="004665DA"/>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4665DA"/>
    <w:rPr>
      <w:rFonts w:cs="Times New Roman"/>
      <w:vertAlign w:val="superscript"/>
    </w:rPr>
  </w:style>
  <w:style w:type="paragraph" w:customStyle="1" w:styleId="p1">
    <w:name w:val="p1"/>
    <w:basedOn w:val="Normal"/>
    <w:rsid w:val="004665DA"/>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4665DA"/>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4665DA"/>
    <w:pPr>
      <w:spacing w:after="0" w:line="240" w:lineRule="auto"/>
    </w:pPr>
    <w:rPr>
      <w:rFonts w:ascii="Calibri" w:eastAsia="Times New Roman" w:hAnsi="Calibri" w:cs="Times New Roman"/>
      <w:lang w:eastAsia="es-ES"/>
    </w:rPr>
  </w:style>
  <w:style w:type="paragraph" w:styleId="Textonotapie">
    <w:name w:val="footnote text"/>
    <w:aliases w:val="Car,Car Car Car,Car4,Texto nota pie1,Texto independiente1, Car, Car4,Body Text, Car2 Car Car Car Car Car, Car2 Car, Car2, Car1 Car, Car2 Car1 Car, Car Car Car, Car1,Car1 Car Car,Car1 Car,Car Car Car Car Car"/>
    <w:basedOn w:val="Normal"/>
    <w:link w:val="TextonotapieCar"/>
    <w:rsid w:val="004665DA"/>
    <w:rPr>
      <w:rFonts w:eastAsia="Batang"/>
      <w:sz w:val="20"/>
      <w:szCs w:val="20"/>
      <w:lang w:eastAsia="es-PE"/>
    </w:rPr>
  </w:style>
  <w:style w:type="character" w:customStyle="1" w:styleId="TextonotapieCar">
    <w:name w:val="Texto nota pie Car"/>
    <w:aliases w:val="Car Car,Car Car Car Car,Car4 Car,Texto nota pie1 Car,Texto independiente1 Car, Car Car, Car4 Car,Body Text Car, Car2 Car Car Car Car Car Car, Car2 Car Car, Car2 Car1, Car1 Car Car, Car2 Car1 Car Car, Car Car Car Car, Car1 Car1"/>
    <w:basedOn w:val="Fuentedeprrafopredeter"/>
    <w:link w:val="Textonotapie"/>
    <w:rsid w:val="004665DA"/>
    <w:rPr>
      <w:rFonts w:ascii="Times New Roman" w:eastAsia="Batang" w:hAnsi="Times New Roman" w:cs="Times New Roman"/>
      <w:sz w:val="20"/>
      <w:szCs w:val="20"/>
      <w:lang w:eastAsia="es-PE"/>
    </w:rPr>
  </w:style>
  <w:style w:type="table" w:styleId="Tablaconcuadrcula">
    <w:name w:val="Table Grid"/>
    <w:basedOn w:val="Tablanormal"/>
    <w:uiPriority w:val="59"/>
    <w:rsid w:val="004665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semiHidden/>
    <w:unhideWhenUsed/>
    <w:rsid w:val="004665DA"/>
    <w:pPr>
      <w:spacing w:after="120"/>
    </w:pPr>
  </w:style>
  <w:style w:type="character" w:customStyle="1" w:styleId="TextoindependienteCar">
    <w:name w:val="Texto independiente Car"/>
    <w:basedOn w:val="Fuentedeprrafopredeter"/>
    <w:link w:val="Textoindependiente"/>
    <w:uiPriority w:val="99"/>
    <w:semiHidden/>
    <w:rsid w:val="004665DA"/>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5E3260"/>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E3260"/>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11255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873</Words>
  <Characters>4806</Characters>
  <Application>Microsoft Office Word</Application>
  <DocSecurity>0</DocSecurity>
  <Lines>40</Lines>
  <Paragraphs>11</Paragraphs>
  <ScaleCrop>false</ScaleCrop>
  <Company/>
  <LinksUpToDate>false</LinksUpToDate>
  <CharactersWithSpaces>5668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4</cp:revision>
  <dcterms:created xsi:type="dcterms:W3CDTF">2011-06-13T20:20:00Z</dcterms:created>
  <dcterms:modified xsi:type="dcterms:W3CDTF">2011-07-11T14:41:00Z</dcterms:modified>
</cp:coreProperties>
</file>